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52AE" w14:textId="77777777" w:rsidR="008037EA" w:rsidRPr="007872B6" w:rsidRDefault="008037EA" w:rsidP="008037EA">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1A619DC2">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5FAD6EAC"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E85029">
        <w:rPr>
          <w:rFonts w:ascii="Arial" w:hAnsi="Arial" w:cs="Arial"/>
          <w:bCs/>
          <w:szCs w:val="22"/>
        </w:rPr>
        <w:t xml:space="preserve"> in Occupational </w:t>
      </w:r>
      <w:r w:rsidR="009219F2">
        <w:rPr>
          <w:rFonts w:ascii="Arial" w:hAnsi="Arial" w:cs="Arial"/>
          <w:bCs/>
          <w:szCs w:val="22"/>
        </w:rPr>
        <w:t>Therapy</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2A61E5EB"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7B5B3114"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E85029">
        <w:rPr>
          <w:rFonts w:ascii="Arial" w:hAnsi="Arial" w:cs="Arial"/>
          <w:bCs/>
          <w:szCs w:val="22"/>
        </w:rPr>
        <w:t>Associate Head: Head of Allied Health</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w:t>
      </w:r>
      <w:proofErr w:type="gramStart"/>
      <w:r w:rsidRPr="1915422A">
        <w:rPr>
          <w:b w:val="0"/>
          <w:bCs w:val="0"/>
          <w:sz w:val="22"/>
          <w:szCs w:val="22"/>
          <w:u w:val="none"/>
        </w:rPr>
        <w:t>e.g.</w:t>
      </w:r>
      <w:proofErr w:type="gramEnd"/>
      <w:r w:rsidRPr="1915422A">
        <w:rPr>
          <w:b w:val="0"/>
          <w:bCs w:val="0"/>
          <w:sz w:val="22"/>
          <w:szCs w:val="22"/>
          <w:u w:val="none"/>
        </w:rPr>
        <w:t xml:space="preserve"> external examining, external body representation).</w:t>
      </w:r>
    </w:p>
    <w:p w14:paraId="7137BD5F" w14:textId="77777777"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Develop a record of preparing and collaborating on funding bids to external bodies, (</w:t>
      </w:r>
      <w:proofErr w:type="gramStart"/>
      <w:r w:rsidRPr="1915422A">
        <w:rPr>
          <w:b w:val="0"/>
          <w:bCs w:val="0"/>
          <w:sz w:val="22"/>
          <w:szCs w:val="22"/>
          <w:u w:val="none"/>
        </w:rPr>
        <w:t>e.g.</w:t>
      </w:r>
      <w:proofErr w:type="gramEnd"/>
      <w:r w:rsidRPr="1915422A">
        <w:rPr>
          <w:b w:val="0"/>
          <w:bCs w:val="0"/>
          <w:sz w:val="22"/>
          <w:szCs w:val="22"/>
          <w:u w:val="none"/>
        </w:rPr>
        <w:t xml:space="preserve"> for research, knowledge exchange, or other project funding).</w:t>
      </w:r>
    </w:p>
    <w:p w14:paraId="339ADB37" w14:textId="77777777" w:rsidR="00F43F44" w:rsidRPr="00923C38" w:rsidRDefault="7FBAB792" w:rsidP="00F43F44">
      <w:pPr>
        <w:pStyle w:val="Heading2"/>
        <w:numPr>
          <w:ilvl w:val="0"/>
          <w:numId w:val="10"/>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10"/>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10"/>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5B7B5F61">
      <w:pPr>
        <w:spacing w:line="276" w:lineRule="auto"/>
        <w:rPr>
          <w:rFonts w:ascii="Arial" w:eastAsia="SimSun" w:hAnsi="Arial" w:cs="Arial"/>
          <w:lang w:eastAsia="zh-CN"/>
        </w:rPr>
      </w:pPr>
      <w:r w:rsidRPr="5B7B5F61">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79328E93" w14:textId="1174A60C" w:rsidR="5B7B5F61" w:rsidRDefault="5B7B5F61" w:rsidP="5B7B5F61">
      <w:pPr>
        <w:spacing w:line="276" w:lineRule="auto"/>
        <w:rPr>
          <w:rFonts w:ascii="Arial" w:eastAsia="SimSun" w:hAnsi="Arial" w:cs="Arial"/>
          <w:lang w:eastAsia="zh-CN"/>
        </w:rPr>
      </w:pPr>
    </w:p>
    <w:p w14:paraId="0A48C685" w14:textId="199644DA" w:rsidR="5B7B5F61" w:rsidRDefault="5B7B5F61" w:rsidP="5B7B5F61">
      <w:pPr>
        <w:spacing w:line="276" w:lineRule="auto"/>
        <w:rPr>
          <w:rFonts w:ascii="Arial" w:eastAsia="SimSun" w:hAnsi="Arial" w:cs="Arial"/>
          <w:lang w:eastAsia="zh-CN"/>
        </w:rPr>
      </w:pPr>
    </w:p>
    <w:p w14:paraId="5AC9DF43" w14:textId="6E163F3B" w:rsidR="5B7B5F61" w:rsidRDefault="5B7B5F61" w:rsidP="5B7B5F61">
      <w:pPr>
        <w:spacing w:line="276" w:lineRule="auto"/>
        <w:rPr>
          <w:rFonts w:ascii="Arial" w:eastAsia="SimSun" w:hAnsi="Arial" w:cs="Arial"/>
          <w:lang w:eastAsia="zh-CN"/>
        </w:rPr>
      </w:pPr>
    </w:p>
    <w:p w14:paraId="5D75251A" w14:textId="5373B676" w:rsidR="5B8A3CA3" w:rsidRDefault="5B8A3CA3" w:rsidP="5B7B5F61">
      <w:pPr>
        <w:pStyle w:val="Heading1"/>
        <w:shd w:val="clear" w:color="auto" w:fill="BFBFBF" w:themeFill="background1" w:themeFillShade="BF"/>
      </w:pPr>
      <w:r w:rsidRPr="5B7B5F61">
        <w:rPr>
          <w:rFonts w:eastAsia="Arial" w:cs="Arial"/>
          <w:bCs/>
          <w:color w:val="000000" w:themeColor="text1"/>
        </w:rPr>
        <w:t>EQUALITY, DIVERSITY AND INCLUSION</w:t>
      </w:r>
    </w:p>
    <w:p w14:paraId="49645696" w14:textId="292D857F" w:rsidR="5B8A3CA3" w:rsidRDefault="5B8A3CA3" w:rsidP="5B7B5F61">
      <w:pPr>
        <w:spacing w:line="276" w:lineRule="auto"/>
      </w:pPr>
      <w:r w:rsidRPr="5B7B5F61">
        <w:rPr>
          <w:rFonts w:ascii="Arial" w:eastAsia="Arial" w:hAnsi="Arial" w:cs="Arial"/>
          <w:szCs w:val="22"/>
        </w:rPr>
        <w:t xml:space="preserve"> </w:t>
      </w:r>
    </w:p>
    <w:p w14:paraId="4F2E71D8" w14:textId="14E1E95A" w:rsidR="5B8A3CA3" w:rsidRDefault="5B8A3CA3" w:rsidP="5B7B5F61">
      <w:r w:rsidRPr="5B7B5F61">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11728893" w14:textId="154BC6AA" w:rsidR="5B8A3CA3" w:rsidRDefault="5B8A3CA3" w:rsidP="5B7B5F61">
      <w:r w:rsidRPr="5B7B5F61">
        <w:rPr>
          <w:rFonts w:ascii="Arial" w:eastAsia="Arial" w:hAnsi="Arial" w:cs="Arial"/>
          <w:szCs w:val="22"/>
        </w:rPr>
        <w:t xml:space="preserve"> </w:t>
      </w:r>
    </w:p>
    <w:p w14:paraId="261E708A" w14:textId="72BD6F47" w:rsidR="5B8A3CA3" w:rsidRDefault="5B8A3CA3" w:rsidP="5B7B5F61">
      <w:pPr>
        <w:pStyle w:val="ListParagraph"/>
        <w:numPr>
          <w:ilvl w:val="0"/>
          <w:numId w:val="1"/>
        </w:numPr>
        <w:spacing w:after="0"/>
        <w:rPr>
          <w:rFonts w:ascii="Arial" w:eastAsia="Arial" w:hAnsi="Arial" w:cs="Arial"/>
        </w:rPr>
      </w:pPr>
      <w:r w:rsidRPr="5B7B5F61">
        <w:rPr>
          <w:rFonts w:ascii="Arial" w:eastAsia="Arial" w:hAnsi="Arial" w:cs="Arial"/>
        </w:rPr>
        <w:t>contribute to a working environment in which individuals are treated with dignity and respect;</w:t>
      </w:r>
    </w:p>
    <w:p w14:paraId="19BFC6FD" w14:textId="7A601466" w:rsidR="5B8A3CA3" w:rsidRDefault="5B8A3CA3" w:rsidP="5B7B5F61">
      <w:pPr>
        <w:pStyle w:val="ListParagraph"/>
        <w:numPr>
          <w:ilvl w:val="0"/>
          <w:numId w:val="1"/>
        </w:numPr>
        <w:spacing w:after="0"/>
        <w:rPr>
          <w:rFonts w:ascii="Arial" w:eastAsia="Arial" w:hAnsi="Arial" w:cs="Arial"/>
        </w:rPr>
      </w:pPr>
      <w:r w:rsidRPr="5B7B5F61">
        <w:rPr>
          <w:rFonts w:ascii="Arial" w:eastAsia="Arial" w:hAnsi="Arial" w:cs="Arial"/>
        </w:rPr>
        <w:t>carry out responsibilities in accordance with the University’s obligations under the Equality Act 2010, including the Public Sector Equality Duty;</w:t>
      </w:r>
    </w:p>
    <w:p w14:paraId="38932A8E" w14:textId="47F69F77" w:rsidR="5B8A3CA3" w:rsidRDefault="5B8A3CA3" w:rsidP="5B7B5F61">
      <w:pPr>
        <w:pStyle w:val="ListParagraph"/>
        <w:numPr>
          <w:ilvl w:val="0"/>
          <w:numId w:val="1"/>
        </w:numPr>
        <w:spacing w:after="0"/>
        <w:rPr>
          <w:rFonts w:ascii="Arial" w:eastAsia="Arial" w:hAnsi="Arial" w:cs="Arial"/>
        </w:rPr>
      </w:pPr>
      <w:r w:rsidRPr="5B7B5F61">
        <w:rPr>
          <w:rFonts w:ascii="Arial" w:eastAsia="Arial" w:hAnsi="Arial" w:cs="Arial"/>
        </w:rPr>
        <w:t>support equality of opportunity through professional and lawful conduct relevant to the requirements of the role;</w:t>
      </w:r>
    </w:p>
    <w:p w14:paraId="52CAD7B4" w14:textId="4AA6E3BE" w:rsidR="5B8A3CA3" w:rsidRDefault="5B8A3CA3" w:rsidP="5B7B5F61">
      <w:pPr>
        <w:pStyle w:val="ListParagraph"/>
        <w:numPr>
          <w:ilvl w:val="0"/>
          <w:numId w:val="1"/>
        </w:numPr>
        <w:spacing w:after="0"/>
        <w:rPr>
          <w:rFonts w:ascii="Arial" w:eastAsia="Arial" w:hAnsi="Arial" w:cs="Arial"/>
        </w:rPr>
      </w:pPr>
      <w:r w:rsidRPr="5B7B5F61">
        <w:rPr>
          <w:rFonts w:ascii="Arial" w:eastAsia="Arial" w:hAnsi="Arial" w:cs="Arial"/>
        </w:rPr>
        <w:t xml:space="preserve">uphold the University’s commitment to freedom of speech and academic freedom within the </w:t>
      </w:r>
      <w:r w:rsidRPr="5B7B5F61">
        <w:rPr>
          <w:rFonts w:ascii="Arial" w:eastAsia="Arial" w:hAnsi="Arial" w:cs="Arial"/>
        </w:rPr>
        <w:lastRenderedPageBreak/>
        <w:t>law.</w:t>
      </w:r>
    </w:p>
    <w:p w14:paraId="03D63C1A" w14:textId="122DAF0F" w:rsidR="5B8A3CA3" w:rsidRDefault="5B8A3CA3" w:rsidP="5B7B5F61">
      <w:pPr>
        <w:spacing w:line="276" w:lineRule="auto"/>
      </w:pPr>
      <w:r w:rsidRPr="5B7B5F61">
        <w:rPr>
          <w:rFonts w:ascii="Arial" w:eastAsia="Arial" w:hAnsi="Arial" w:cs="Arial"/>
          <w:szCs w:val="22"/>
        </w:rPr>
        <w:t xml:space="preserve"> </w:t>
      </w:r>
    </w:p>
    <w:p w14:paraId="5091E9AA" w14:textId="6F7952C1" w:rsidR="5B8A3CA3" w:rsidRDefault="5B8A3CA3" w:rsidP="5B7B5F61">
      <w:pPr>
        <w:pStyle w:val="Heading1"/>
        <w:shd w:val="clear" w:color="auto" w:fill="BFBFBF" w:themeFill="background1" w:themeFillShade="BF"/>
      </w:pPr>
      <w:r w:rsidRPr="5B7B5F61">
        <w:rPr>
          <w:rFonts w:eastAsia="Arial" w:cs="Arial"/>
          <w:bCs/>
          <w:color w:val="000000" w:themeColor="text1"/>
        </w:rPr>
        <w:t>HIGHER EDUCATION (FREEDOM OF SPEECH) ACT 2023</w:t>
      </w:r>
    </w:p>
    <w:p w14:paraId="59E6C4DC" w14:textId="1A6ABF8B" w:rsidR="5B8A3CA3" w:rsidRDefault="5B8A3CA3" w:rsidP="5B7B5F61">
      <w:r w:rsidRPr="5B7B5F61">
        <w:rPr>
          <w:rFonts w:ascii="Arial" w:eastAsia="Arial" w:hAnsi="Arial" w:cs="Arial"/>
          <w:szCs w:val="22"/>
        </w:rPr>
        <w:t xml:space="preserve"> </w:t>
      </w:r>
    </w:p>
    <w:p w14:paraId="67396329" w14:textId="3EF28402" w:rsidR="5B8A3CA3" w:rsidRDefault="5B8A3CA3" w:rsidP="5B7B5F61">
      <w:r w:rsidRPr="5B7B5F61">
        <w:rPr>
          <w:rFonts w:ascii="Arial" w:eastAsia="Arial" w:hAnsi="Arial" w:cs="Arial"/>
          <w:szCs w:val="22"/>
        </w:rPr>
        <w:t xml:space="preserve">The University is committed to securing freedom of speech and academic freedom within the law as outlined in the </w:t>
      </w:r>
      <w:hyperlink r:id="rId16" w:anchor=":~:text=The%20University%20is%20committed%20to%20protecting%20lawful%20speech%20and%20academic,other%20form%20of%20unlawful%20behaviour.">
        <w:r w:rsidRPr="5B7B5F61">
          <w:rPr>
            <w:rStyle w:val="Hyperlink"/>
            <w:rFonts w:ascii="Arial" w:eastAsia="Arial" w:hAnsi="Arial" w:cs="Arial"/>
            <w:szCs w:val="22"/>
          </w:rPr>
          <w:t>Freedom of speech code of practice</w:t>
        </w:r>
      </w:hyperlink>
      <w:r w:rsidRPr="5B7B5F61">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3F434D96" w14:textId="0258436C" w:rsidR="5B7B5F61" w:rsidRDefault="5B7B5F61" w:rsidP="5B7B5F61">
      <w:pPr>
        <w:spacing w:line="276" w:lineRule="auto"/>
        <w:rPr>
          <w:rFonts w:ascii="Arial" w:eastAsia="SimSun" w:hAnsi="Arial" w:cs="Arial"/>
          <w:lang w:eastAsia="zh-CN"/>
        </w:rPr>
      </w:pP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06F49F53" w14:textId="7E8DF3B6" w:rsidR="00E85029" w:rsidRPr="009F782D" w:rsidRDefault="004B6C9E" w:rsidP="00E85029">
      <w:pPr>
        <w:tabs>
          <w:tab w:val="left" w:pos="4320"/>
        </w:tabs>
        <w:ind w:left="4320" w:right="-19" w:hanging="4320"/>
        <w:rPr>
          <w:rFonts w:ascii="Arial" w:hAnsi="Arial" w:cs="Arial"/>
          <w:b/>
          <w:szCs w:val="22"/>
        </w:rPr>
      </w:pPr>
      <w:r>
        <w:rPr>
          <w:rFonts w:ascii="Arial" w:hAnsi="Arial"/>
          <w:b/>
        </w:rPr>
        <w:t>POST TITLE</w:t>
      </w:r>
      <w:r w:rsidR="00E85029">
        <w:rPr>
          <w:rFonts w:ascii="Arial" w:hAnsi="Arial"/>
          <w:b/>
        </w:rPr>
        <w:t xml:space="preserve">:                                      </w:t>
      </w:r>
      <w:r w:rsidR="00B019B7">
        <w:rPr>
          <w:rFonts w:ascii="Arial" w:hAnsi="Arial"/>
          <w:bCs/>
        </w:rPr>
        <w:t>Lecturer</w:t>
      </w:r>
      <w:r w:rsidR="00E85029">
        <w:rPr>
          <w:rFonts w:ascii="Arial" w:hAnsi="Arial"/>
          <w:bCs/>
        </w:rPr>
        <w:t xml:space="preserve"> </w:t>
      </w:r>
      <w:r w:rsidR="00E85029">
        <w:rPr>
          <w:rFonts w:ascii="Arial" w:hAnsi="Arial" w:cs="Arial"/>
          <w:bCs/>
          <w:szCs w:val="22"/>
        </w:rPr>
        <w:t xml:space="preserve">in Occupational </w:t>
      </w:r>
      <w:r w:rsidR="009219F2">
        <w:rPr>
          <w:rFonts w:ascii="Arial" w:hAnsi="Arial" w:cs="Arial"/>
          <w:bCs/>
          <w:szCs w:val="22"/>
        </w:rPr>
        <w:t>Therapy</w:t>
      </w:r>
    </w:p>
    <w:p w14:paraId="1A169AC7" w14:textId="7190EA99" w:rsidR="004B6C9E" w:rsidRPr="000911AF" w:rsidRDefault="004B6C9E" w:rsidP="000911AF">
      <w:pPr>
        <w:spacing w:after="120"/>
        <w:ind w:left="1843" w:hanging="1843"/>
        <w:rPr>
          <w:rFonts w:ascii="Arial" w:hAnsi="Arial"/>
          <w:bCs/>
        </w:rPr>
      </w:pPr>
    </w:p>
    <w:p w14:paraId="703C8328" w14:textId="784E04DD"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E85029">
        <w:rPr>
          <w:rFonts w:ascii="Arial" w:hAnsi="Arial"/>
          <w:bCs/>
          <w:szCs w:val="22"/>
        </w:rPr>
        <w:t>Allied Health</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3D3804C6" w:rsidR="00764537" w:rsidRPr="0042285E" w:rsidRDefault="7933EC23" w:rsidP="19D4DEB0">
            <w:pPr>
              <w:rPr>
                <w:rFonts w:ascii="Arial" w:hAnsi="Arial" w:cs="Arial"/>
                <w:color w:val="000000"/>
              </w:rPr>
            </w:pPr>
            <w:r w:rsidRPr="19D4DEB0">
              <w:rPr>
                <w:rFonts w:ascii="Arial" w:hAnsi="Arial" w:cs="Arial"/>
                <w:color w:val="000000" w:themeColor="text1"/>
              </w:rPr>
              <w:t xml:space="preserve">Relevant </w:t>
            </w:r>
            <w:r w:rsidR="00EC00B6" w:rsidRPr="19D4DEB0">
              <w:rPr>
                <w:rFonts w:ascii="Arial" w:hAnsi="Arial" w:cs="Arial"/>
                <w:color w:val="000000" w:themeColor="text1"/>
              </w:rPr>
              <w:t>PhD / doctorate</w:t>
            </w:r>
            <w:r w:rsidR="00AD2136" w:rsidRPr="19D4DEB0">
              <w:rPr>
                <w:rFonts w:ascii="Arial" w:hAnsi="Arial" w:cs="Arial"/>
                <w:color w:val="000000" w:themeColor="text1"/>
              </w:rPr>
              <w:t xml:space="preserve"> (or </w:t>
            </w:r>
            <w:r w:rsidR="002B2F57" w:rsidRPr="19D4DEB0">
              <w:rPr>
                <w:rFonts w:ascii="Arial" w:hAnsi="Arial" w:cs="Arial"/>
                <w:color w:val="000000" w:themeColor="text1"/>
              </w:rPr>
              <w:t xml:space="preserve">currently undertaking) </w:t>
            </w:r>
            <w:r w:rsidR="006859E3" w:rsidRPr="19D4DEB0">
              <w:rPr>
                <w:rFonts w:ascii="Arial" w:hAnsi="Arial" w:cs="Arial"/>
                <w:color w:val="000000" w:themeColor="text1"/>
                <w:u w:val="single"/>
              </w:rPr>
              <w:t>or</w:t>
            </w:r>
            <w:r w:rsidR="002B2F57" w:rsidRPr="19D4DEB0">
              <w:rPr>
                <w:rFonts w:ascii="Arial" w:hAnsi="Arial" w:cs="Arial"/>
                <w:color w:val="000000" w:themeColor="text1"/>
              </w:rPr>
              <w:t xml:space="preserve"> equivalent industry experience</w:t>
            </w:r>
          </w:p>
        </w:tc>
        <w:tc>
          <w:tcPr>
            <w:tcW w:w="1984" w:type="dxa"/>
          </w:tcPr>
          <w:p w14:paraId="34FC6562" w14:textId="256F025B" w:rsidR="00764537" w:rsidRDefault="00AD2136"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77777777" w:rsidR="000E623B" w:rsidRPr="00B019B7" w:rsidRDefault="009219F2" w:rsidP="000E623B">
            <w:pPr>
              <w:rPr>
                <w:rFonts w:ascii="Arial" w:hAnsi="Arial" w:cs="Arial"/>
                <w:color w:val="0563C1"/>
                <w:szCs w:val="22"/>
                <w:u w:val="single"/>
              </w:rPr>
            </w:pPr>
            <w:hyperlink r:id="rId17" w:history="1">
              <w:r w:rsidR="000E623B"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w:t>
            </w:r>
            <w:proofErr w:type="gramStart"/>
            <w:r w:rsidRPr="000C1217">
              <w:rPr>
                <w:rFonts w:ascii="Arial" w:hAnsi="Arial" w:cs="Arial"/>
                <w:szCs w:val="22"/>
              </w:rPr>
              <w:t>e.g.</w:t>
            </w:r>
            <w:proofErr w:type="gramEnd"/>
            <w:r w:rsidRPr="000C1217">
              <w:rPr>
                <w:rFonts w:ascii="Arial" w:hAnsi="Arial" w:cs="Arial"/>
                <w:szCs w:val="22"/>
              </w:rPr>
              <w:t xml:space="preserve">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5B7B5F6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5B7B5F61">
        <w:trPr>
          <w:trHeight w:val="467"/>
        </w:trPr>
        <w:tc>
          <w:tcPr>
            <w:tcW w:w="5778" w:type="dxa"/>
          </w:tcPr>
          <w:p w14:paraId="3234BE3B" w14:textId="2DC09E4D" w:rsidR="00337B97" w:rsidRDefault="00337B97" w:rsidP="0F69076F">
            <w:pPr>
              <w:rPr>
                <w:rFonts w:ascii="Arial" w:hAnsi="Arial" w:cs="Arial"/>
              </w:rPr>
            </w:pPr>
            <w:r w:rsidRPr="0F69076F">
              <w:rPr>
                <w:rFonts w:ascii="Arial" w:hAnsi="Arial" w:cs="Arial"/>
              </w:rPr>
              <w:lastRenderedPageBreak/>
              <w:t>Ability to teach the subject discipline with a high level of knowledge and expertise acquired through personal research and/or professional practice</w:t>
            </w:r>
            <w:r w:rsidR="008847F7" w:rsidRPr="0F69076F">
              <w:rPr>
                <w:rFonts w:ascii="Arial" w:hAnsi="Arial" w:cs="Arial"/>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5B7B5F6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5B7B5F61">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5B7B5F6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5B7B5F6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5B7B5F6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w:t>
            </w:r>
            <w:proofErr w:type="gramStart"/>
            <w:r w:rsidRPr="00946415">
              <w:rPr>
                <w:rFonts w:ascii="Arial" w:hAnsi="Arial" w:cs="Arial"/>
                <w:iCs/>
                <w:szCs w:val="22"/>
              </w:rPr>
              <w:t>e.g.</w:t>
            </w:r>
            <w:proofErr w:type="gramEnd"/>
            <w:r w:rsidRPr="00946415">
              <w:rPr>
                <w:rFonts w:ascii="Arial" w:hAnsi="Arial" w:cs="Arial"/>
                <w:iCs/>
                <w:szCs w:val="22"/>
              </w:rPr>
              <w:t xml:space="preserve">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r w:rsidR="5B7B5F61" w14:paraId="2E05B72D" w14:textId="77777777" w:rsidTr="5B7B5F61">
        <w:trPr>
          <w:trHeight w:val="467"/>
        </w:trPr>
        <w:tc>
          <w:tcPr>
            <w:tcW w:w="5778" w:type="dxa"/>
          </w:tcPr>
          <w:p w14:paraId="120FDCD5" w14:textId="0CE0E7AB" w:rsidR="5B7B5F61" w:rsidRDefault="5B7B5F61" w:rsidP="5B7B5F61">
            <w:pPr>
              <w:spacing w:after="180"/>
            </w:pPr>
            <w:r w:rsidRPr="5B7B5F61">
              <w:rPr>
                <w:rFonts w:ascii="Arial" w:eastAsia="Arial" w:hAnsi="Arial" w:cs="Arial"/>
                <w:szCs w:val="22"/>
              </w:rPr>
              <w:t>Ability to contribute to a working environment that enables participation from individuals with a range of perspectives and backgrounds</w:t>
            </w:r>
          </w:p>
        </w:tc>
        <w:tc>
          <w:tcPr>
            <w:tcW w:w="1984" w:type="dxa"/>
          </w:tcPr>
          <w:p w14:paraId="47C2FA65" w14:textId="69B2D279" w:rsidR="5B7B5F61" w:rsidRDefault="5B7B5F61" w:rsidP="5B7B5F61">
            <w:pPr>
              <w:spacing w:before="40" w:after="120"/>
              <w:rPr>
                <w:rFonts w:ascii="Arial" w:eastAsia="Arial" w:hAnsi="Arial" w:cs="Arial"/>
                <w:szCs w:val="22"/>
              </w:rPr>
            </w:pPr>
            <w:r w:rsidRPr="5B7B5F61">
              <w:rPr>
                <w:rFonts w:ascii="Arial" w:eastAsia="Arial" w:hAnsi="Arial" w:cs="Arial"/>
                <w:szCs w:val="22"/>
              </w:rPr>
              <w:t>Essential</w:t>
            </w:r>
          </w:p>
        </w:tc>
        <w:tc>
          <w:tcPr>
            <w:tcW w:w="1985" w:type="dxa"/>
          </w:tcPr>
          <w:p w14:paraId="3E08BA8A" w14:textId="713F4889" w:rsidR="5B7B5F61" w:rsidRDefault="5B7B5F61" w:rsidP="5B7B5F61">
            <w:pPr>
              <w:spacing w:before="40" w:after="120"/>
              <w:rPr>
                <w:rFonts w:ascii="Arial" w:eastAsia="Arial" w:hAnsi="Arial" w:cs="Arial"/>
                <w:szCs w:val="22"/>
              </w:rPr>
            </w:pPr>
            <w:r w:rsidRPr="5B7B5F61">
              <w:rPr>
                <w:rFonts w:ascii="Arial" w:eastAsia="Arial" w:hAnsi="Arial" w:cs="Arial"/>
                <w:szCs w:val="22"/>
              </w:rPr>
              <w:t>Application / Interview</w:t>
            </w:r>
          </w:p>
        </w:tc>
      </w:tr>
    </w:tbl>
    <w:p w14:paraId="50F9FB37" w14:textId="78C9A8F6" w:rsidR="009D0E2A" w:rsidRPr="000911AF" w:rsidRDefault="76488EAC" w:rsidP="5B7B5F61">
      <w:pPr>
        <w:pStyle w:val="Heading2"/>
      </w:pPr>
      <w:r w:rsidRPr="5B7B5F61">
        <w:rPr>
          <w:rFonts w:eastAsia="Arial"/>
        </w:rPr>
        <w:t>Leading YSJ Framework</w:t>
      </w:r>
    </w:p>
    <w:p w14:paraId="0EA08436" w14:textId="46C54CD9" w:rsidR="009D0E2A" w:rsidRPr="000911AF" w:rsidRDefault="76488EAC" w:rsidP="5B7B5F61">
      <w:r w:rsidRPr="5B7B5F61">
        <w:rPr>
          <w:rFonts w:ascii="Arial" w:eastAsia="Arial" w:hAnsi="Arial" w:cs="Arial"/>
          <w:szCs w:val="22"/>
        </w:rPr>
        <w:t xml:space="preserve"> </w:t>
      </w:r>
    </w:p>
    <w:p w14:paraId="3DD04214" w14:textId="6FB7AF11" w:rsidR="009D0E2A" w:rsidRPr="000911AF" w:rsidRDefault="76488EAC" w:rsidP="5B7B5F61">
      <w:r w:rsidRPr="5B7B5F61">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3280DB67" w14:textId="11589E2D" w:rsidR="009D0E2A" w:rsidRPr="000911AF" w:rsidRDefault="009D0E2A" w:rsidP="11290D2E">
      <w:pPr>
        <w:rPr>
          <w:rFonts w:ascii="Arial" w:hAnsi="Arial" w:cs="Arial"/>
        </w:rPr>
      </w:pPr>
    </w:p>
    <w:p w14:paraId="195F2DFD" w14:textId="2407BA27" w:rsidR="009D0E2A" w:rsidRDefault="009D0E2A" w:rsidP="2F5B4E4B">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F5B4E4B" w14:paraId="0625AC65" w14:textId="77777777" w:rsidTr="2F5B4E4B">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7F99D49" w14:textId="1BA7DE6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A6D709" w14:textId="2C55A808"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hold our people, and ourselves, accountable for delivering the University Strategy</w:t>
            </w:r>
          </w:p>
        </w:tc>
      </w:tr>
      <w:tr w:rsidR="2F5B4E4B" w14:paraId="78401792" w14:textId="77777777" w:rsidTr="2F5B4E4B">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90DCA66" w14:textId="27EE776D"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CCC9F73" w14:textId="5367A90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help the organisation, and our teams, to navigate change, complexity and uncertainty</w:t>
            </w:r>
          </w:p>
        </w:tc>
      </w:tr>
      <w:tr w:rsidR="2F5B4E4B" w14:paraId="3CF52085" w14:textId="77777777" w:rsidTr="2F5B4E4B">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4EAFB96" w14:textId="1CE750B7"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Integrity, Trust</w:t>
            </w:r>
          </w:p>
          <w:p w14:paraId="0EFC0CFF" w14:textId="77C61E4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DBDAF54" w14:textId="0FABA3B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demonstrate YSJ values and leadership behaviours in our professional approach</w:t>
            </w:r>
          </w:p>
        </w:tc>
      </w:tr>
      <w:tr w:rsidR="2F5B4E4B" w14:paraId="0488A481" w14:textId="77777777" w:rsidTr="2F5B4E4B">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7C6E56" w14:textId="6DC36B96"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Communication</w:t>
            </w:r>
          </w:p>
          <w:p w14:paraId="42F6263C" w14:textId="4F101EC4"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85D8671" w14:textId="70C9051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collaborate across our leadership community, supporting each other in achieving our University Strategy</w:t>
            </w:r>
          </w:p>
        </w:tc>
      </w:tr>
      <w:tr w:rsidR="2F5B4E4B" w14:paraId="755AD79A" w14:textId="77777777" w:rsidTr="2F5B4E4B">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290DEDD" w14:textId="30DFAA8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Support and</w:t>
            </w:r>
          </w:p>
          <w:p w14:paraId="30E6386B" w14:textId="5DB513A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AB23D96" w14:textId="4CC8AE5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show genuine care for our people and foster a positive culture of wellbeing</w:t>
            </w:r>
          </w:p>
        </w:tc>
      </w:tr>
    </w:tbl>
    <w:p w14:paraId="624F1067" w14:textId="55BF7375" w:rsidR="009D0E2A" w:rsidRDefault="009D0E2A" w:rsidP="2F5B4E4B">
      <w:pPr>
        <w:rPr>
          <w:rFonts w:ascii="Arial" w:hAnsi="Arial" w:cs="Arial"/>
          <w:sz w:val="20"/>
        </w:rPr>
      </w:pP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4F0B" w14:textId="77777777" w:rsidR="007862C9" w:rsidRDefault="007862C9" w:rsidP="00EB316B">
      <w:r>
        <w:separator/>
      </w:r>
    </w:p>
  </w:endnote>
  <w:endnote w:type="continuationSeparator" w:id="0">
    <w:p w14:paraId="60185F26" w14:textId="77777777" w:rsidR="007862C9" w:rsidRDefault="007862C9" w:rsidP="00EB316B">
      <w:r>
        <w:continuationSeparator/>
      </w:r>
    </w:p>
  </w:endnote>
  <w:endnote w:type="continuationNotice" w:id="1">
    <w:p w14:paraId="04CF35D9" w14:textId="77777777" w:rsidR="007862C9" w:rsidRDefault="00786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3B1A" w14:textId="77777777" w:rsidR="007862C9" w:rsidRDefault="007862C9" w:rsidP="00EB316B">
      <w:r>
        <w:separator/>
      </w:r>
    </w:p>
  </w:footnote>
  <w:footnote w:type="continuationSeparator" w:id="0">
    <w:p w14:paraId="174A8376" w14:textId="77777777" w:rsidR="007862C9" w:rsidRDefault="007862C9" w:rsidP="00EB316B">
      <w:r>
        <w:continuationSeparator/>
      </w:r>
    </w:p>
  </w:footnote>
  <w:footnote w:type="continuationNotice" w:id="1">
    <w:p w14:paraId="03D2D505" w14:textId="77777777" w:rsidR="007862C9" w:rsidRDefault="007862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F7C72"/>
    <w:multiLevelType w:val="hybridMultilevel"/>
    <w:tmpl w:val="991A27C8"/>
    <w:lvl w:ilvl="0" w:tplc="9E34AE88">
      <w:start w:val="1"/>
      <w:numFmt w:val="bullet"/>
      <w:lvlText w:val="·"/>
      <w:lvlJc w:val="left"/>
      <w:pPr>
        <w:ind w:left="720" w:hanging="360"/>
      </w:pPr>
      <w:rPr>
        <w:rFonts w:ascii="Symbol" w:hAnsi="Symbol" w:hint="default"/>
      </w:rPr>
    </w:lvl>
    <w:lvl w:ilvl="1" w:tplc="284E8BAE">
      <w:start w:val="1"/>
      <w:numFmt w:val="bullet"/>
      <w:lvlText w:val="o"/>
      <w:lvlJc w:val="left"/>
      <w:pPr>
        <w:ind w:left="1440" w:hanging="360"/>
      </w:pPr>
      <w:rPr>
        <w:rFonts w:ascii="Courier New" w:hAnsi="Courier New" w:hint="default"/>
      </w:rPr>
    </w:lvl>
    <w:lvl w:ilvl="2" w:tplc="06A40F7C">
      <w:start w:val="1"/>
      <w:numFmt w:val="bullet"/>
      <w:lvlText w:val=""/>
      <w:lvlJc w:val="left"/>
      <w:pPr>
        <w:ind w:left="2160" w:hanging="360"/>
      </w:pPr>
      <w:rPr>
        <w:rFonts w:ascii="Wingdings" w:hAnsi="Wingdings" w:hint="default"/>
      </w:rPr>
    </w:lvl>
    <w:lvl w:ilvl="3" w:tplc="4E64A652">
      <w:start w:val="1"/>
      <w:numFmt w:val="bullet"/>
      <w:lvlText w:val=""/>
      <w:lvlJc w:val="left"/>
      <w:pPr>
        <w:ind w:left="2880" w:hanging="360"/>
      </w:pPr>
      <w:rPr>
        <w:rFonts w:ascii="Symbol" w:hAnsi="Symbol" w:hint="default"/>
      </w:rPr>
    </w:lvl>
    <w:lvl w:ilvl="4" w:tplc="45A40314">
      <w:start w:val="1"/>
      <w:numFmt w:val="bullet"/>
      <w:lvlText w:val="o"/>
      <w:lvlJc w:val="left"/>
      <w:pPr>
        <w:ind w:left="3600" w:hanging="360"/>
      </w:pPr>
      <w:rPr>
        <w:rFonts w:ascii="Courier New" w:hAnsi="Courier New" w:hint="default"/>
      </w:rPr>
    </w:lvl>
    <w:lvl w:ilvl="5" w:tplc="661492F8">
      <w:start w:val="1"/>
      <w:numFmt w:val="bullet"/>
      <w:lvlText w:val=""/>
      <w:lvlJc w:val="left"/>
      <w:pPr>
        <w:ind w:left="4320" w:hanging="360"/>
      </w:pPr>
      <w:rPr>
        <w:rFonts w:ascii="Wingdings" w:hAnsi="Wingdings" w:hint="default"/>
      </w:rPr>
    </w:lvl>
    <w:lvl w:ilvl="6" w:tplc="A938483A">
      <w:start w:val="1"/>
      <w:numFmt w:val="bullet"/>
      <w:lvlText w:val=""/>
      <w:lvlJc w:val="left"/>
      <w:pPr>
        <w:ind w:left="5040" w:hanging="360"/>
      </w:pPr>
      <w:rPr>
        <w:rFonts w:ascii="Symbol" w:hAnsi="Symbol" w:hint="default"/>
      </w:rPr>
    </w:lvl>
    <w:lvl w:ilvl="7" w:tplc="43A47B98">
      <w:start w:val="1"/>
      <w:numFmt w:val="bullet"/>
      <w:lvlText w:val="o"/>
      <w:lvlJc w:val="left"/>
      <w:pPr>
        <w:ind w:left="5760" w:hanging="360"/>
      </w:pPr>
      <w:rPr>
        <w:rFonts w:ascii="Courier New" w:hAnsi="Courier New" w:hint="default"/>
      </w:rPr>
    </w:lvl>
    <w:lvl w:ilvl="8" w:tplc="FB92A9AE">
      <w:start w:val="1"/>
      <w:numFmt w:val="bullet"/>
      <w:lvlText w:val=""/>
      <w:lvlJc w:val="left"/>
      <w:pPr>
        <w:ind w:left="6480" w:hanging="360"/>
      </w:pPr>
      <w:rPr>
        <w:rFonts w:ascii="Wingdings" w:hAnsi="Wingdings" w:hint="default"/>
      </w:rPr>
    </w:lvl>
  </w:abstractNum>
  <w:abstractNum w:abstractNumId="8"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0"/>
  </w:num>
  <w:num w:numId="6">
    <w:abstractNumId w:val="3"/>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1E14BA"/>
    <w:rsid w:val="00204CB3"/>
    <w:rsid w:val="002214C2"/>
    <w:rsid w:val="00242E43"/>
    <w:rsid w:val="0026545D"/>
    <w:rsid w:val="0027626C"/>
    <w:rsid w:val="0028093E"/>
    <w:rsid w:val="00284378"/>
    <w:rsid w:val="00284732"/>
    <w:rsid w:val="00294B50"/>
    <w:rsid w:val="002B2F57"/>
    <w:rsid w:val="002E31DA"/>
    <w:rsid w:val="002E5FF6"/>
    <w:rsid w:val="002F298F"/>
    <w:rsid w:val="00337B97"/>
    <w:rsid w:val="00344677"/>
    <w:rsid w:val="003871EF"/>
    <w:rsid w:val="00395F54"/>
    <w:rsid w:val="00397161"/>
    <w:rsid w:val="0039731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C0202"/>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75CD2"/>
    <w:rsid w:val="00881DAE"/>
    <w:rsid w:val="008847F7"/>
    <w:rsid w:val="008848A1"/>
    <w:rsid w:val="00893053"/>
    <w:rsid w:val="008B2A2D"/>
    <w:rsid w:val="008B736F"/>
    <w:rsid w:val="008E1116"/>
    <w:rsid w:val="008E4E38"/>
    <w:rsid w:val="008E5A52"/>
    <w:rsid w:val="0090031C"/>
    <w:rsid w:val="00900BDF"/>
    <w:rsid w:val="00902CC1"/>
    <w:rsid w:val="009219F2"/>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85029"/>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4C426CD"/>
    <w:rsid w:val="07C90E42"/>
    <w:rsid w:val="0CA6432D"/>
    <w:rsid w:val="0F69076F"/>
    <w:rsid w:val="11290D2E"/>
    <w:rsid w:val="1371B909"/>
    <w:rsid w:val="1761B821"/>
    <w:rsid w:val="1915422A"/>
    <w:rsid w:val="19D4DEB0"/>
    <w:rsid w:val="19E39B4D"/>
    <w:rsid w:val="1EE569A4"/>
    <w:rsid w:val="1F3896B0"/>
    <w:rsid w:val="2F5B4E4B"/>
    <w:rsid w:val="2FD8D06D"/>
    <w:rsid w:val="30596178"/>
    <w:rsid w:val="349F8673"/>
    <w:rsid w:val="380F4588"/>
    <w:rsid w:val="4045CA81"/>
    <w:rsid w:val="4113C052"/>
    <w:rsid w:val="4485A382"/>
    <w:rsid w:val="44BC7E19"/>
    <w:rsid w:val="4607CC62"/>
    <w:rsid w:val="46584E7A"/>
    <w:rsid w:val="46DB702D"/>
    <w:rsid w:val="48759741"/>
    <w:rsid w:val="4937ABD0"/>
    <w:rsid w:val="4D25C35F"/>
    <w:rsid w:val="51C0E1C6"/>
    <w:rsid w:val="5B7B5F61"/>
    <w:rsid w:val="5B8A3CA3"/>
    <w:rsid w:val="5BF3FBD5"/>
    <w:rsid w:val="5CC7E19F"/>
    <w:rsid w:val="5F50919B"/>
    <w:rsid w:val="63E06D90"/>
    <w:rsid w:val="6781565D"/>
    <w:rsid w:val="6DA6F79F"/>
    <w:rsid w:val="6F032BC8"/>
    <w:rsid w:val="72C62431"/>
    <w:rsid w:val="76488EAC"/>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repository.jisc.ac.uk/6620/1/JiscProfile_HEteacher.pdf" TargetMode="External"/><Relationship Id="rId2" Type="http://schemas.openxmlformats.org/officeDocument/2006/relationships/customXml" Target="../customXml/item2.xml"/><Relationship Id="rId16" Type="http://schemas.openxmlformats.org/officeDocument/2006/relationships/hyperlink" Target="https://www.yorksj.ac.uk/policies-and-documents/freedom-of-spe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purl.org/dc/elements/1.1/"/>
    <ds:schemaRef ds:uri="http://purl.org/dc/terms/"/>
    <ds:schemaRef ds:uri="http://www.w3.org/XML/1998/namespace"/>
    <ds:schemaRef ds:uri="http://purl.org/dc/dcmitype/"/>
    <ds:schemaRef ds:uri="http://schemas.microsoft.com/office/2006/documentManagement/types"/>
    <ds:schemaRef ds:uri="78319a27-10fa-4cc4-81ef-3865e74fb833"/>
    <ds:schemaRef ds:uri="http://schemas.microsoft.com/office/infopath/2007/PartnerControls"/>
    <ds:schemaRef ds:uri="0e29400e-9c8e-4adb-b0e6-45774aa4ac6f"/>
    <ds:schemaRef ds:uri="http://schemas.openxmlformats.org/package/2006/metadata/core-properties"/>
    <ds:schemaRef ds:uri="http://schemas.microsoft.com/office/2006/metadata/properties"/>
    <ds:schemaRef ds:uri="47c08bad-c920-48cb-a061-04179f1cf67d"/>
    <ds:schemaRef ds:uri="66c9430f-a473-499b-96ca-5c5ff4a71811"/>
  </ds:schemaRefs>
</ds:datastoreItem>
</file>

<file path=customXml/itemProps3.xml><?xml version="1.0" encoding="utf-8"?>
<ds:datastoreItem xmlns:ds="http://schemas.openxmlformats.org/officeDocument/2006/customXml" ds:itemID="{3B19F41E-1DEC-4494-AABD-C8C9A625F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7903</Characters>
  <Application>Microsoft Office Word</Application>
  <DocSecurity>2</DocSecurity>
  <Lines>65</Lines>
  <Paragraphs>18</Paragraphs>
  <ScaleCrop>false</ScaleCrop>
  <Company>York St John College</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Catherine Barber</cp:lastModifiedBy>
  <cp:revision>3</cp:revision>
  <dcterms:created xsi:type="dcterms:W3CDTF">2026-06-19T11:08:00Z</dcterms:created>
  <dcterms:modified xsi:type="dcterms:W3CDTF">2026-07-17T13:41:00Z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